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490FB" w14:textId="77777777" w:rsidR="00846772" w:rsidRPr="00846772" w:rsidRDefault="00846772" w:rsidP="00846772">
      <w:pPr>
        <w:pStyle w:val="awsTitel"/>
      </w:pPr>
      <w:r w:rsidRPr="00846772">
        <w:t>VORGABEN FÜR DIE EINREICHUNG VON ZAHLUNGSANTRÄGEN</w:t>
      </w:r>
    </w:p>
    <w:p w14:paraId="02EABB56" w14:textId="50B100DD" w:rsidR="00846772" w:rsidRPr="00846772" w:rsidRDefault="00846772" w:rsidP="00846772">
      <w:pPr>
        <w:pStyle w:val="awsLauftext"/>
        <w:spacing w:before="120"/>
        <w:jc w:val="center"/>
      </w:pPr>
      <w:r w:rsidRPr="00846772">
        <w:t xml:space="preserve">im Rahmen des </w:t>
      </w:r>
      <w:r w:rsidR="000D21EE">
        <w:t>Ö</w:t>
      </w:r>
      <w:r w:rsidRPr="00846772">
        <w:t>sterreichischen Programms für ländliche Entwicklung 2014–2020</w:t>
      </w:r>
    </w:p>
    <w:p w14:paraId="02219708" w14:textId="77777777" w:rsidR="00846772" w:rsidRPr="00846772" w:rsidRDefault="00846772" w:rsidP="00846772">
      <w:pPr>
        <w:pStyle w:val="awsLauftext"/>
        <w:jc w:val="center"/>
        <w:rPr>
          <w:b/>
          <w:bCs/>
        </w:rPr>
      </w:pPr>
      <w:r w:rsidRPr="00846772">
        <w:rPr>
          <w:b/>
          <w:bCs/>
        </w:rPr>
        <w:t>Vorhaben 4.2.1. (VVE)</w:t>
      </w:r>
    </w:p>
    <w:p w14:paraId="65434152" w14:textId="30528941" w:rsidR="00846772" w:rsidRPr="00846772" w:rsidRDefault="00846772" w:rsidP="00196ABE">
      <w:pPr>
        <w:pStyle w:val="awsHeadlinenummeriert"/>
      </w:pPr>
      <w:r w:rsidRPr="00846772">
        <w:t>ALLGEMEINE INFORMATION ZUM ZAHLUNGSANTRAG</w:t>
      </w:r>
    </w:p>
    <w:p w14:paraId="5B90751E" w14:textId="2FC3ADE0" w:rsidR="00846772" w:rsidRPr="00846772" w:rsidRDefault="00846772" w:rsidP="00846772">
      <w:pPr>
        <w:pStyle w:val="awsLauftext"/>
      </w:pPr>
      <w:r w:rsidRPr="00846772">
        <w:t xml:space="preserve">Die Auszahlung des genehmigten Förderbetrags hat unter Verwendung der bei der </w:t>
      </w:r>
      <w:r w:rsidR="00045B4C">
        <w:t>b</w:t>
      </w:r>
      <w:r w:rsidRPr="00846772">
        <w:t xml:space="preserve">ewilligenden Stelle aufgelegten Zahlungsantragsformulare gemäß Punkt 1.9.9.1 der Sonderrichtlinie LE-Projektförderung bis spätestens </w:t>
      </w:r>
      <w:r w:rsidRPr="00045B4C">
        <w:rPr>
          <w:b/>
          <w:bCs/>
        </w:rPr>
        <w:t>30.6.202</w:t>
      </w:r>
      <w:r w:rsidR="005142D9">
        <w:rPr>
          <w:b/>
          <w:bCs/>
        </w:rPr>
        <w:t>4</w:t>
      </w:r>
      <w:r w:rsidRPr="00846772">
        <w:t xml:space="preserve"> zu erfolgen. Werden von der </w:t>
      </w:r>
      <w:r w:rsidR="00045B4C">
        <w:t>b</w:t>
      </w:r>
      <w:r w:rsidRPr="00846772">
        <w:t xml:space="preserve">ewilligenden Stelle im Genehmigungsschreiben Fristen für die Beantragung der Zahlungsanträge vorgegeben, sind diese einzuhalten. </w:t>
      </w:r>
    </w:p>
    <w:p w14:paraId="4FE9E4AD" w14:textId="77777777" w:rsidR="00846772" w:rsidRPr="00846772" w:rsidRDefault="00846772" w:rsidP="00846772">
      <w:pPr>
        <w:pStyle w:val="awsLauftext"/>
      </w:pPr>
      <w:r w:rsidRPr="00846772">
        <w:t>Ein Zahlungsantrag umfasst das vollständig ausgefüllte und unterschriebene Zahlungsantragsformular inkl. folgender Beilagen:</w:t>
      </w:r>
    </w:p>
    <w:p w14:paraId="5AF6A673" w14:textId="056D8DCA" w:rsidR="00846772" w:rsidRPr="00846772" w:rsidRDefault="00846772" w:rsidP="00196ABE">
      <w:pPr>
        <w:pStyle w:val="awsAufzhlungEbene1"/>
      </w:pPr>
      <w:r w:rsidRPr="00846772">
        <w:t>erforderliche vollständig ausgefüllte und unterschriebene Belegaufstellung,</w:t>
      </w:r>
    </w:p>
    <w:p w14:paraId="435C6F4E" w14:textId="2FBCAD5B" w:rsidR="00846772" w:rsidRPr="00846772" w:rsidRDefault="00846772" w:rsidP="00196ABE">
      <w:pPr>
        <w:pStyle w:val="awsAufzhlungEbene1"/>
      </w:pPr>
      <w:r w:rsidRPr="00846772">
        <w:t>Originalrechnungen,</w:t>
      </w:r>
    </w:p>
    <w:p w14:paraId="4C26E1E5" w14:textId="3B77F136" w:rsidR="00846772" w:rsidRPr="00846772" w:rsidRDefault="00846772" w:rsidP="00196ABE">
      <w:pPr>
        <w:pStyle w:val="awsAufzhlungEbene1"/>
      </w:pPr>
      <w:r w:rsidRPr="00846772">
        <w:t>Zahlungsnachweise,</w:t>
      </w:r>
    </w:p>
    <w:p w14:paraId="5A897D51" w14:textId="087AB558" w:rsidR="00846772" w:rsidRPr="00846772" w:rsidRDefault="00846772" w:rsidP="00846772">
      <w:pPr>
        <w:pStyle w:val="awsAufzhlungEbene1"/>
      </w:pPr>
      <w:r w:rsidRPr="00846772">
        <w:t xml:space="preserve">sonstige Beilagen gemäß Genehmigungsschreiben </w:t>
      </w:r>
    </w:p>
    <w:p w14:paraId="67997240" w14:textId="219094D3" w:rsidR="00846772" w:rsidRPr="00846772" w:rsidRDefault="00846772" w:rsidP="00196ABE">
      <w:pPr>
        <w:pStyle w:val="awsHeadlinenummeriert"/>
      </w:pPr>
      <w:r w:rsidRPr="00846772">
        <w:t>VORGABEN FÜR DIE BEILAGE</w:t>
      </w:r>
    </w:p>
    <w:p w14:paraId="04C0FBB0" w14:textId="77777777" w:rsidR="00846772" w:rsidRPr="00846772" w:rsidRDefault="00846772" w:rsidP="00E94AFE">
      <w:pPr>
        <w:pStyle w:val="awsSubheadlinenummeriert"/>
      </w:pPr>
      <w:r w:rsidRPr="00846772">
        <w:t>Belegaufstellung</w:t>
      </w:r>
    </w:p>
    <w:p w14:paraId="5BBCC340" w14:textId="77777777" w:rsidR="00846772" w:rsidRPr="00846772" w:rsidRDefault="00846772" w:rsidP="00846772">
      <w:pPr>
        <w:pStyle w:val="awsLauftext"/>
      </w:pPr>
      <w:r w:rsidRPr="00846772">
        <w:t xml:space="preserve">Die Investitionskosten (bauliche Vorhaben, Maschinen, Computer Hard- und Software etc.) sind mit der Belegaufstellung für Investitionskosten einzureichen. </w:t>
      </w:r>
    </w:p>
    <w:p w14:paraId="2B315D9A" w14:textId="77777777" w:rsidR="00846772" w:rsidRPr="0013761A" w:rsidRDefault="00846772" w:rsidP="00901CCF">
      <w:pPr>
        <w:pStyle w:val="awsLauftext"/>
        <w:spacing w:before="240"/>
        <w:rPr>
          <w:rStyle w:val="awsLauftexthellblau"/>
        </w:rPr>
      </w:pPr>
      <w:r w:rsidRPr="0013761A">
        <w:rPr>
          <w:rStyle w:val="awsLauftexthellblau"/>
        </w:rPr>
        <w:t>Für die Belegaufstellung gilt:</w:t>
      </w:r>
    </w:p>
    <w:p w14:paraId="0783F4B8" w14:textId="097F4698" w:rsidR="00846772" w:rsidRPr="00846772" w:rsidRDefault="00846772" w:rsidP="00846772">
      <w:pPr>
        <w:pStyle w:val="awsLauftext"/>
      </w:pPr>
      <w:r w:rsidRPr="00846772">
        <w:t xml:space="preserve">Die Belegaufstellung ist vollständig auszufüllen. Belege/Rechnungen sind gemäß Kostengliederung aufzulisten. Die Kosten müssen durch Originalrechnungen und den entsprechenden Zahlungsnachweisen (siehe auch nachfolgenden Punkt Zahlungsnachweise) belegt werden. </w:t>
      </w:r>
    </w:p>
    <w:p w14:paraId="6C4FD9D5" w14:textId="77777777" w:rsidR="00846772" w:rsidRPr="0013761A" w:rsidRDefault="00846772" w:rsidP="00901CCF">
      <w:pPr>
        <w:pStyle w:val="awsLauftext"/>
        <w:spacing w:before="240"/>
        <w:rPr>
          <w:rStyle w:val="awsLauftexthellblau"/>
        </w:rPr>
      </w:pPr>
      <w:r w:rsidRPr="0013761A">
        <w:rPr>
          <w:rStyle w:val="awsLauftexthellblau"/>
        </w:rPr>
        <w:t>Vorsteuerabzugsberechtigung:</w:t>
      </w:r>
    </w:p>
    <w:p w14:paraId="093D1177" w14:textId="67BAEF68" w:rsidR="00846772" w:rsidRPr="00846772" w:rsidRDefault="00846772" w:rsidP="00846772">
      <w:pPr>
        <w:pStyle w:val="awsLauftext"/>
      </w:pPr>
      <w:r w:rsidRPr="00846772">
        <w:t xml:space="preserve">Bei </w:t>
      </w:r>
      <w:r w:rsidRPr="0013761A">
        <w:rPr>
          <w:b/>
          <w:bCs/>
        </w:rPr>
        <w:t>vorsteuerabzugsberechtigten</w:t>
      </w:r>
      <w:r w:rsidRPr="00846772">
        <w:t xml:space="preserve"> Förderungswerbern werden nur die Netto-Kosten (exkl. </w:t>
      </w:r>
      <w:proofErr w:type="spellStart"/>
      <w:r w:rsidRPr="00846772">
        <w:t>USt</w:t>
      </w:r>
      <w:proofErr w:type="spellEnd"/>
      <w:r w:rsidRPr="00846772">
        <w:t xml:space="preserve">.) gefördert. In der Belegaufstellung müssen daher sowohl die Brutto- als auch die Nettobeträge abzüglich sämtlicher in Anspruch genommener Nachlässe erfasst werden. </w:t>
      </w:r>
    </w:p>
    <w:p w14:paraId="06D3B257" w14:textId="77777777" w:rsidR="00846772" w:rsidRPr="00846772" w:rsidRDefault="00846772" w:rsidP="0013761A">
      <w:pPr>
        <w:pStyle w:val="ArialBlackHINWEIS"/>
      </w:pPr>
      <w:r w:rsidRPr="00846772">
        <w:t xml:space="preserve">Hinweis: </w:t>
      </w:r>
    </w:p>
    <w:p w14:paraId="37DF3BE8" w14:textId="633447FF" w:rsidR="00846772" w:rsidRPr="00846772" w:rsidRDefault="00846772" w:rsidP="009D636C">
      <w:pPr>
        <w:pStyle w:val="ArialBlackHINWEIS"/>
      </w:pPr>
      <w:r w:rsidRPr="00846772">
        <w:t xml:space="preserve">Auch pauschalierte Landwirte sind vorsteuerabzugsberechtigt (ja ankreuzen!) und daher werden auch in diesen Fällen ausschließlich die Netto-Kosten (exkl. </w:t>
      </w:r>
      <w:proofErr w:type="spellStart"/>
      <w:r w:rsidRPr="00846772">
        <w:t>USt</w:t>
      </w:r>
      <w:proofErr w:type="spellEnd"/>
      <w:r w:rsidRPr="00846772">
        <w:t>.) gefördert.</w:t>
      </w:r>
    </w:p>
    <w:p w14:paraId="4021B5DE" w14:textId="325DF5F5" w:rsidR="00846772" w:rsidRPr="00846772" w:rsidRDefault="00846772" w:rsidP="00846772">
      <w:pPr>
        <w:pStyle w:val="awsLauftext"/>
      </w:pPr>
      <w:r w:rsidRPr="00846772">
        <w:t xml:space="preserve">Bei </w:t>
      </w:r>
      <w:r w:rsidRPr="009D636C">
        <w:rPr>
          <w:b/>
          <w:bCs/>
        </w:rPr>
        <w:t>nicht vorsteuerabzugsberechtigen</w:t>
      </w:r>
      <w:r w:rsidRPr="00846772">
        <w:t xml:space="preserve"> Förderungswerber können die Brutto-Kosten (inkl. </w:t>
      </w:r>
      <w:proofErr w:type="spellStart"/>
      <w:r w:rsidRPr="00846772">
        <w:t>USt</w:t>
      </w:r>
      <w:proofErr w:type="spellEnd"/>
      <w:r w:rsidRPr="00846772">
        <w:t xml:space="preserve">.) gefördert werden. In diesen Fällen kann sich der Förderungswerber die Umsatzsteuer nicht über den Vorsteuerausgleich zurückholen und daher hat er diese Kosten endgültig zu tragen. Als nicht vorsteuerabzugsberechtige Förderungswerber gelten grundsätzlich gemeinnützige, nicht gewinnorientierte Vereine sowie Gebietskörperschaften bzw. Körperschaften öffentlichen Rechts, sofern die geförderte Tätigkeit nicht durch einen Betrieb gewerblicher Art erfolgt. </w:t>
      </w:r>
    </w:p>
    <w:p w14:paraId="684ACF13" w14:textId="77777777" w:rsidR="00846772" w:rsidRPr="009D636C" w:rsidRDefault="00846772" w:rsidP="00901CCF">
      <w:pPr>
        <w:pStyle w:val="awsLauftext"/>
        <w:spacing w:before="240"/>
        <w:rPr>
          <w:rStyle w:val="awsLauftexthellblau"/>
        </w:rPr>
      </w:pPr>
      <w:r w:rsidRPr="009D636C">
        <w:rPr>
          <w:rStyle w:val="awsLauftexthellblau"/>
        </w:rPr>
        <w:t>Genehmigter Zeitraum für die Kostenanerkennung:</w:t>
      </w:r>
    </w:p>
    <w:p w14:paraId="18F70C68" w14:textId="77777777" w:rsidR="00846772" w:rsidRPr="00846772" w:rsidRDefault="00846772" w:rsidP="00846772">
      <w:pPr>
        <w:pStyle w:val="awsLauftext"/>
      </w:pPr>
      <w:r w:rsidRPr="00846772">
        <w:t xml:space="preserve">Der Kostenanerkennungsstichtag (Beginn des Zeitraums für die Kostenanerkennung) ist jenes Datum, das dem Förderungswerber nach Einreichung des Förderungsantrags schriftlich bekannt gegeben wird. </w:t>
      </w:r>
    </w:p>
    <w:p w14:paraId="58A3B8F6" w14:textId="77777777" w:rsidR="00846772" w:rsidRPr="00846772" w:rsidRDefault="00846772" w:rsidP="008C18FA">
      <w:pPr>
        <w:pStyle w:val="ArialBlackHINWEIS"/>
      </w:pPr>
      <w:r w:rsidRPr="00846772">
        <w:lastRenderedPageBreak/>
        <w:t xml:space="preserve">Hinweis: </w:t>
      </w:r>
    </w:p>
    <w:p w14:paraId="1BFBA4A3" w14:textId="77777777" w:rsidR="00846772" w:rsidRPr="00846772" w:rsidRDefault="00846772" w:rsidP="008C18FA">
      <w:pPr>
        <w:pStyle w:val="ArialBlackHINWEIS"/>
      </w:pPr>
      <w:r w:rsidRPr="00846772">
        <w:t>Da mit der Umsetzung des Vorhabens erst nach der Einreichung des Förderungsantrags begonnen werden darf, muss das Belegdatum in der 1. Spalte der Belegaufstellung (Rechnungsdatum, Datum der Leistungsaufzeichnung bei Arbeitsleistungen etc.) nach dem Kostenanerkennungsstichtag liegen. Ausnahme: Planungs- und Beratungskosten zu investiven Vorhaben. Diese werden bis zu 6 Monate vor diesem Datum anerkannt.</w:t>
      </w:r>
    </w:p>
    <w:p w14:paraId="1B476B38" w14:textId="77777777" w:rsidR="00846772" w:rsidRPr="00846772" w:rsidRDefault="00846772" w:rsidP="00846772">
      <w:pPr>
        <w:pStyle w:val="awsLauftext"/>
      </w:pPr>
      <w:r w:rsidRPr="00846772">
        <w:t>Weiters ist darauf zu achten, dass alle Leistungen (inkl. Rechnungen und Zahlungen) für das Vorhaben vor dem im Genehmigungsschreiben festgelegten Ende des Zeitraums für die Kostenanerkennung liegen. Sollte ein Vorhaben nicht fristgerecht umgesetzt werden können, ist bei der Bewilligenden Stelle eine Verlängerung der Frist zu beantragen.</w:t>
      </w:r>
    </w:p>
    <w:p w14:paraId="10232781" w14:textId="77777777" w:rsidR="00846772" w:rsidRPr="008C18FA" w:rsidRDefault="00846772" w:rsidP="00901CCF">
      <w:pPr>
        <w:pStyle w:val="awsLauftext"/>
        <w:spacing w:before="240"/>
        <w:rPr>
          <w:rStyle w:val="awsLauftexthellblau"/>
        </w:rPr>
      </w:pPr>
      <w:r w:rsidRPr="008C18FA">
        <w:rPr>
          <w:rStyle w:val="awsLauftexthellblau"/>
        </w:rPr>
        <w:t xml:space="preserve">Nicht anrechenbare Kosten </w:t>
      </w:r>
    </w:p>
    <w:p w14:paraId="2FAF3450" w14:textId="77777777" w:rsidR="00846772" w:rsidRPr="00846772" w:rsidRDefault="00846772" w:rsidP="00846772">
      <w:pPr>
        <w:pStyle w:val="awsLauftext"/>
      </w:pPr>
      <w:r w:rsidRPr="00846772">
        <w:t>Es können nur Leistungen/Kosten abgerechnet werden, die auch tatsächlich erbracht wurden und dem Vorhaben zugeordnet werden können.</w:t>
      </w:r>
    </w:p>
    <w:p w14:paraId="39C777C3" w14:textId="77777777" w:rsidR="00846772" w:rsidRPr="008C18FA" w:rsidRDefault="00846772" w:rsidP="00901CCF">
      <w:pPr>
        <w:pStyle w:val="awsLauftext"/>
        <w:spacing w:before="240"/>
        <w:rPr>
          <w:rStyle w:val="awsLauftexthellblau"/>
        </w:rPr>
      </w:pPr>
      <w:r w:rsidRPr="008C18FA">
        <w:rPr>
          <w:rStyle w:val="awsLauftexthellblau"/>
        </w:rPr>
        <w:t>Beispiel:</w:t>
      </w:r>
    </w:p>
    <w:p w14:paraId="344A4716" w14:textId="77777777" w:rsidR="00846772" w:rsidRPr="00846772" w:rsidRDefault="00846772" w:rsidP="00846772">
      <w:pPr>
        <w:pStyle w:val="awsLauftext"/>
      </w:pPr>
      <w:r w:rsidRPr="00846772">
        <w:t>In der Belegaufstellung wurde die Rechnung einer Fliesenfirma (Bezeichnung Ware, Leistung: 100 m² Fliesen inkl. Verlegung) angeführt. Die 100 m² Fliesen dürfen nur beantragt werden, wenn sie bereits verlegt sind und sich im geförderten Vorhaben befinden.</w:t>
      </w:r>
    </w:p>
    <w:p w14:paraId="2095E944" w14:textId="77777777" w:rsidR="00846772" w:rsidRPr="00BF1D87" w:rsidRDefault="00846772" w:rsidP="00901CCF">
      <w:pPr>
        <w:pStyle w:val="awsLauftext"/>
        <w:spacing w:before="240"/>
        <w:rPr>
          <w:rStyle w:val="awsLauftexthellblau"/>
        </w:rPr>
      </w:pPr>
      <w:r w:rsidRPr="00BF1D87">
        <w:rPr>
          <w:rStyle w:val="awsLauftexthellblau"/>
        </w:rPr>
        <w:t>Folgende Kostenpositionen sind generell nicht anrechenbar:</w:t>
      </w:r>
    </w:p>
    <w:p w14:paraId="747F1E27" w14:textId="2E0A2A66" w:rsidR="00846772" w:rsidRPr="00846772" w:rsidRDefault="00846772" w:rsidP="008C18FA">
      <w:pPr>
        <w:pStyle w:val="awsAufzhlungEbene1"/>
      </w:pPr>
      <w:r w:rsidRPr="00846772">
        <w:t xml:space="preserve">Steuern, öffentliche Abgaben und Gebühren; davon ausgenommen sind indirekte Abgaben (z. B. Ortstaxe, Schotterabgabe, </w:t>
      </w:r>
      <w:proofErr w:type="spellStart"/>
      <w:r w:rsidRPr="00846772">
        <w:t>Road-pricing</w:t>
      </w:r>
      <w:proofErr w:type="spellEnd"/>
      <w:r w:rsidRPr="00846772">
        <w:t>, Flughafentaxe, Werbeabgabe, Naturschutzabgabe, Altstoff Recycling Abgabe (ARA), Mineralölsteuerzuschläge, Vergebührung von Mietverträgen, Umsatzsteuer, wenn der Förderungswerber nicht vorsteuerabzugsberechtigt etc.).</w:t>
      </w:r>
    </w:p>
    <w:p w14:paraId="4BB4B348" w14:textId="1CF7F572" w:rsidR="00846772" w:rsidRPr="00846772" w:rsidRDefault="00846772" w:rsidP="008C18FA">
      <w:pPr>
        <w:pStyle w:val="awsAufzhlungEbene1"/>
      </w:pPr>
      <w:r w:rsidRPr="00846772">
        <w:t xml:space="preserve">Gebühren im Sinne des Gebührengesetzes, welche für Verwaltungstätigkeiten der Behörden eingehoben werden (z.B.: Notariatsgebühren, Entsorgungskosten, Stempelgebühren für gesetzlich notwendige Bescheinigungen, etc.). </w:t>
      </w:r>
    </w:p>
    <w:p w14:paraId="6E4EA765" w14:textId="7AF0599C" w:rsidR="00846772" w:rsidRPr="00846772" w:rsidRDefault="00846772" w:rsidP="008C18FA">
      <w:pPr>
        <w:pStyle w:val="awsAufzhlungEbene1"/>
      </w:pPr>
      <w:r w:rsidRPr="00846772">
        <w:t>Verfahrenskosten betreffend Verfahren vor Verwaltungsbehörden oder Gerichten.</w:t>
      </w:r>
    </w:p>
    <w:p w14:paraId="5A78D084" w14:textId="39D4495E" w:rsidR="00846772" w:rsidRPr="00846772" w:rsidRDefault="00846772" w:rsidP="008C18FA">
      <w:pPr>
        <w:pStyle w:val="awsAufzhlungEbene1"/>
      </w:pPr>
      <w:r w:rsidRPr="00846772">
        <w:t>Finanzierungs- und Versicherungskosten</w:t>
      </w:r>
    </w:p>
    <w:p w14:paraId="67E4377C" w14:textId="0CA8D858" w:rsidR="00846772" w:rsidRPr="00846772" w:rsidRDefault="00846772" w:rsidP="008C18FA">
      <w:pPr>
        <w:pStyle w:val="awsAufzhlungEbene1"/>
      </w:pPr>
      <w:r w:rsidRPr="00846772">
        <w:t>Steuerberatungs-, Anwalts- und Notariatskosten, ausgenommen Vertragserrichtungskosten;</w:t>
      </w:r>
    </w:p>
    <w:p w14:paraId="39318097" w14:textId="0B18B7E6" w:rsidR="00846772" w:rsidRPr="00846772" w:rsidRDefault="00846772" w:rsidP="008C18FA">
      <w:pPr>
        <w:pStyle w:val="awsAufzhlungEbene1"/>
      </w:pPr>
      <w:r w:rsidRPr="00846772">
        <w:t>Steuerberatungs-, Anwalts- und Notariatskosten im unmittelbaren Zusammenhang mit der Gründung eines Unternehmens sind anrechenbar;</w:t>
      </w:r>
    </w:p>
    <w:p w14:paraId="3B1EF3F4" w14:textId="7CE9B1FC" w:rsidR="00846772" w:rsidRPr="00846772" w:rsidRDefault="00846772" w:rsidP="008C18FA">
      <w:pPr>
        <w:pStyle w:val="awsAufzhlungEbene1"/>
      </w:pPr>
      <w:r w:rsidRPr="00846772">
        <w:t>Leasingfinanzierte Investitionsgüter, ausgenommen die vom Förderungswerber als Leasingnehmer im Projektdurchführungszeitraum gezahlten Leasingraten; es ist bei leasingfinanzierten Käufen immer darauf zu achten, dass das wirtschaftliche Eigentum mit dem Erwerb auf den Leasingnehmer übergeht, ansonsten sind die Voraussetzungen für eine Investition nicht erfüllt;</w:t>
      </w:r>
    </w:p>
    <w:p w14:paraId="2D819BFA" w14:textId="2F3CACEE" w:rsidR="00846772" w:rsidRPr="00846772" w:rsidRDefault="00846772" w:rsidP="008C18FA">
      <w:pPr>
        <w:pStyle w:val="awsAufzhlungEbene1"/>
      </w:pPr>
      <w:r w:rsidRPr="00846772">
        <w:t>Nicht bezahlte Rechnungs-Teilbeträge (z.B. Schadenersatzforderungen, Garantieleistungen etc.)</w:t>
      </w:r>
    </w:p>
    <w:p w14:paraId="60499278" w14:textId="631AD0B9" w:rsidR="00846772" w:rsidRPr="00846772" w:rsidRDefault="00846772" w:rsidP="008C18FA">
      <w:pPr>
        <w:pStyle w:val="awsAufzhlungEbene1"/>
      </w:pPr>
      <w:r w:rsidRPr="00846772">
        <w:t>Kosten, die nicht dem Vorhaben zuordenbar sind (z. B. laufende Betriebskosten)</w:t>
      </w:r>
    </w:p>
    <w:p w14:paraId="0184FED5" w14:textId="4D18540D" w:rsidR="00846772" w:rsidRPr="00846772" w:rsidRDefault="00846772" w:rsidP="008C18FA">
      <w:pPr>
        <w:pStyle w:val="awsAufzhlungEbene1"/>
      </w:pPr>
      <w:r w:rsidRPr="00846772">
        <w:t>Kosten, die aus Kleinbetragsrechnungen und Eigenleistungsabrechnungen unter € 50,- netto resultieren;</w:t>
      </w:r>
    </w:p>
    <w:p w14:paraId="6630E0CE" w14:textId="4F552E8A" w:rsidR="00846772" w:rsidRPr="00846772" w:rsidRDefault="00846772" w:rsidP="008C18FA">
      <w:pPr>
        <w:pStyle w:val="awsAufzhlungEbene1"/>
      </w:pPr>
      <w:r w:rsidRPr="00846772">
        <w:t>Kosten, die bereits durch Versicherungsleistungen abgedeckt sind.</w:t>
      </w:r>
    </w:p>
    <w:p w14:paraId="7C2D3E36" w14:textId="775BECEB" w:rsidR="00846772" w:rsidRPr="00846772" w:rsidRDefault="00846772" w:rsidP="008C18FA">
      <w:pPr>
        <w:pStyle w:val="awsAufzhlungEbene1"/>
      </w:pPr>
      <w:r w:rsidRPr="00846772">
        <w:t>Kosten, die der Förderungswerber nicht endgültig zu tragen hat, z. B.  indem er Leistungen für die Durchführung des Vorhabens angekauft hat und diese wieder weiterverkauft. In diesen Fällen darf der Förderungswerber nur Kosten beantragen, die er nicht weiterverrechnet und damit endgültig zu tragen hat.</w:t>
      </w:r>
    </w:p>
    <w:p w14:paraId="6EB8A130" w14:textId="139F00C9" w:rsidR="00846772" w:rsidRPr="00846772" w:rsidRDefault="00846772" w:rsidP="008C18FA">
      <w:pPr>
        <w:pStyle w:val="awsAufzhlungEbene1"/>
      </w:pPr>
      <w:r w:rsidRPr="00846772">
        <w:t>Interne Sach- und Personalkosten sowie unbaren Eigenleistungen (eigene Arbeits- und Materialleistungen)</w:t>
      </w:r>
    </w:p>
    <w:p w14:paraId="3C0CAD24" w14:textId="20213EC4" w:rsidR="00846772" w:rsidRPr="00846772" w:rsidRDefault="00846772" w:rsidP="008C18FA">
      <w:pPr>
        <w:pStyle w:val="awsAufzhlungEbene1"/>
      </w:pPr>
      <w:r w:rsidRPr="00846772">
        <w:t>Gebrauchte Investitionsgüter</w:t>
      </w:r>
    </w:p>
    <w:p w14:paraId="4D5B1DE9" w14:textId="4392C7FD" w:rsidR="00846772" w:rsidRPr="00846772" w:rsidRDefault="00846772" w:rsidP="008C18FA">
      <w:pPr>
        <w:pStyle w:val="awsAufzhlungEbene1"/>
      </w:pPr>
      <w:r w:rsidRPr="00846772">
        <w:t>Kosten für KFZ und Anhänger (außer innerbetriebliche Transportmittel ohne öffentliche Zulassung)</w:t>
      </w:r>
    </w:p>
    <w:p w14:paraId="3B9759B3" w14:textId="5271DE20" w:rsidR="00846772" w:rsidRPr="00846772" w:rsidRDefault="00846772" w:rsidP="008C18FA">
      <w:pPr>
        <w:pStyle w:val="awsAufzhlungEbene1"/>
      </w:pPr>
      <w:r w:rsidRPr="00846772">
        <w:lastRenderedPageBreak/>
        <w:t>Kosten für den Erwerb von Grund und Boden</w:t>
      </w:r>
    </w:p>
    <w:p w14:paraId="3858EAA4" w14:textId="7C673081" w:rsidR="00846772" w:rsidRPr="00846772" w:rsidRDefault="00846772" w:rsidP="008C18FA">
      <w:pPr>
        <w:pStyle w:val="awsAufzhlungEbene1"/>
      </w:pPr>
      <w:r w:rsidRPr="00846772">
        <w:t>Abbruchkosten für ganze Gebäude oder maßgebliche Gebäudeteile</w:t>
      </w:r>
    </w:p>
    <w:p w14:paraId="4FAE7A3F" w14:textId="77777777" w:rsidR="008C18FA" w:rsidRDefault="008C18FA" w:rsidP="008C18FA">
      <w:pPr>
        <w:pStyle w:val="awsSubheadline"/>
      </w:pPr>
    </w:p>
    <w:p w14:paraId="5C367259" w14:textId="5A321DCF" w:rsidR="00846772" w:rsidRPr="00846772" w:rsidRDefault="00846772" w:rsidP="008C18FA">
      <w:pPr>
        <w:pStyle w:val="awsSubheadlinenummeriert"/>
      </w:pPr>
      <w:r w:rsidRPr="00846772">
        <w:t>Originalrechnungen</w:t>
      </w:r>
    </w:p>
    <w:p w14:paraId="7DB47ABF" w14:textId="77777777" w:rsidR="00846772" w:rsidRPr="00846772" w:rsidRDefault="00846772" w:rsidP="00846772">
      <w:pPr>
        <w:pStyle w:val="awsLauftext"/>
      </w:pPr>
      <w:r w:rsidRPr="00846772">
        <w:t xml:space="preserve">Dem Zahlungsantrag sind die Originalrechnungen beizulegen. </w:t>
      </w:r>
    </w:p>
    <w:p w14:paraId="0FD5FAA9" w14:textId="77777777" w:rsidR="00846772" w:rsidRPr="00846772" w:rsidRDefault="00846772" w:rsidP="00846772">
      <w:pPr>
        <w:pStyle w:val="awsLauftext"/>
      </w:pPr>
      <w:r w:rsidRPr="00846772">
        <w:t xml:space="preserve">Kopien, Duplikate, sind nur </w:t>
      </w:r>
      <w:r w:rsidRPr="00BE10D4">
        <w:rPr>
          <w:b/>
          <w:bCs/>
        </w:rPr>
        <w:t>in Ausnahmefällen</w:t>
      </w:r>
      <w:r w:rsidRPr="00846772">
        <w:t xml:space="preserve"> und nur nach </w:t>
      </w:r>
      <w:r w:rsidRPr="00BE10D4">
        <w:rPr>
          <w:b/>
          <w:bCs/>
        </w:rPr>
        <w:t>Rücksprache mit der Bewilligenden Stelle</w:t>
      </w:r>
      <w:r w:rsidRPr="00846772">
        <w:t xml:space="preserve"> förderbar.</w:t>
      </w:r>
    </w:p>
    <w:p w14:paraId="0A1CC435" w14:textId="77777777" w:rsidR="00846772" w:rsidRPr="00BE10D4" w:rsidRDefault="00846772" w:rsidP="00901CCF">
      <w:pPr>
        <w:pStyle w:val="awsLauftext"/>
        <w:spacing w:before="240"/>
        <w:rPr>
          <w:rStyle w:val="awsLauftexthellblau"/>
        </w:rPr>
      </w:pPr>
      <w:r w:rsidRPr="00BE10D4">
        <w:rPr>
          <w:rStyle w:val="awsLauftexthellblau"/>
        </w:rPr>
        <w:t>Rechnungsempfänger</w:t>
      </w:r>
    </w:p>
    <w:p w14:paraId="0C9FD416" w14:textId="77777777" w:rsidR="00846772" w:rsidRPr="00846772" w:rsidRDefault="00846772" w:rsidP="00846772">
      <w:pPr>
        <w:pStyle w:val="awsLauftext"/>
      </w:pPr>
      <w:r w:rsidRPr="00846772">
        <w:t xml:space="preserve">Der Rechnungsempfänger muss mit dem Förderungswerber oder mit den am land- und forstwirtschaftlichen Betrieb lebenden Familienangehörigen übereinstimmen. </w:t>
      </w:r>
    </w:p>
    <w:p w14:paraId="6A98179F" w14:textId="77777777" w:rsidR="00846772" w:rsidRPr="00846772" w:rsidRDefault="00846772" w:rsidP="00846772">
      <w:pPr>
        <w:pStyle w:val="awsLauftext"/>
      </w:pPr>
      <w:r w:rsidRPr="00846772">
        <w:t>Tritt der Förderungswerber in Form einer eingetragenen Personengesellschaft oder einer Personenvereinigung ohne eigene Rechtspersönlichkeit auf, können die jeweiligen „Gesellschafter“ der eingetragenen Personengesellschaft bzw. die Mitglieder der Personenvereinigung als Rechnungsempfänger akzeptiert werden.</w:t>
      </w:r>
    </w:p>
    <w:p w14:paraId="67CF217A" w14:textId="77777777" w:rsidR="00846772" w:rsidRPr="00846772" w:rsidRDefault="00846772" w:rsidP="00846772">
      <w:pPr>
        <w:pStyle w:val="awsLauftext"/>
      </w:pPr>
      <w:r w:rsidRPr="00846772">
        <w:t xml:space="preserve">Bei juristischen Personen (GmbH, Vereine, Genossenschaften etc.) haben die Rechnungen auf diese selbst zu lauten. </w:t>
      </w:r>
    </w:p>
    <w:p w14:paraId="20F3537E" w14:textId="77777777" w:rsidR="00846772" w:rsidRPr="00BE10D4" w:rsidRDefault="00846772" w:rsidP="00901CCF">
      <w:pPr>
        <w:pStyle w:val="awsLauftext"/>
        <w:spacing w:before="240"/>
        <w:rPr>
          <w:rStyle w:val="awsLauftexthellblau"/>
        </w:rPr>
      </w:pPr>
      <w:r w:rsidRPr="00BE10D4">
        <w:rPr>
          <w:rStyle w:val="awsLauftexthellblau"/>
        </w:rPr>
        <w:t>Eine Rechnung über anrechenbare Kosten muss alle Angaben entsprechend des §11 des Umsatzsteuergesetzes enthalten</w:t>
      </w:r>
    </w:p>
    <w:p w14:paraId="31D6B9ED" w14:textId="6CB5FC5F" w:rsidR="00846772" w:rsidRPr="00846772" w:rsidRDefault="00846772" w:rsidP="00BE10D4">
      <w:pPr>
        <w:pStyle w:val="awsAufzhlungEbene1"/>
      </w:pPr>
      <w:r w:rsidRPr="00846772">
        <w:t xml:space="preserve">Name/Adresse des Rechnungsausstellers </w:t>
      </w:r>
    </w:p>
    <w:p w14:paraId="15A798EF" w14:textId="351B31E3" w:rsidR="00846772" w:rsidRPr="00846772" w:rsidRDefault="00846772" w:rsidP="00BE10D4">
      <w:pPr>
        <w:pStyle w:val="awsAufzhlungEbene1"/>
      </w:pPr>
      <w:r w:rsidRPr="00846772">
        <w:t>Menge und handelsübliche Bezeichnung der gelieferten Ware oder Art und Umfang der sonstigen Leistung. Bei Pauschalrechnungen oder Rechnungen über Pauschalbeträge ist ein Leistungsverzeichnis beizulegen, um die förderungsfähigen Kosten für die Berechnung identifizieren zu können.</w:t>
      </w:r>
    </w:p>
    <w:p w14:paraId="59A2C883" w14:textId="42075EA0" w:rsidR="00846772" w:rsidRPr="00846772" w:rsidRDefault="00846772" w:rsidP="00BE10D4">
      <w:pPr>
        <w:pStyle w:val="awsAufzhlungEbene1"/>
      </w:pPr>
      <w:r w:rsidRPr="00846772">
        <w:t xml:space="preserve">Name/Adresse des Rechnungsempfängers  </w:t>
      </w:r>
    </w:p>
    <w:p w14:paraId="54F33290" w14:textId="56B7A58F" w:rsidR="00846772" w:rsidRPr="00846772" w:rsidRDefault="00846772" w:rsidP="00BE10D4">
      <w:pPr>
        <w:pStyle w:val="awsAufzhlungEbene1"/>
      </w:pPr>
      <w:r w:rsidRPr="00846772">
        <w:t xml:space="preserve">Tag bzw. Zeitraum der Lieferung oder sonstigen Leistung </w:t>
      </w:r>
    </w:p>
    <w:p w14:paraId="10E7AA83" w14:textId="564F4AD8" w:rsidR="00846772" w:rsidRPr="00846772" w:rsidRDefault="00846772" w:rsidP="00BE10D4">
      <w:pPr>
        <w:pStyle w:val="awsAufzhlungEbene1"/>
      </w:pPr>
      <w:r w:rsidRPr="00846772">
        <w:t xml:space="preserve">Rechnungsdatum </w:t>
      </w:r>
    </w:p>
    <w:p w14:paraId="22852228" w14:textId="3434E052" w:rsidR="00846772" w:rsidRPr="00846772" w:rsidRDefault="00846772" w:rsidP="00BE10D4">
      <w:pPr>
        <w:pStyle w:val="awsAufzhlungEbene1"/>
      </w:pPr>
      <w:r w:rsidRPr="00846772">
        <w:t xml:space="preserve">Entgelt </w:t>
      </w:r>
    </w:p>
    <w:p w14:paraId="687C25B5" w14:textId="54F50DD1" w:rsidR="00846772" w:rsidRPr="00846772" w:rsidRDefault="00846772" w:rsidP="00BE10D4">
      <w:pPr>
        <w:pStyle w:val="awsAufzhlungEbene1"/>
      </w:pPr>
      <w:r w:rsidRPr="00846772">
        <w:t xml:space="preserve">Rechnungsnummer </w:t>
      </w:r>
    </w:p>
    <w:p w14:paraId="7DBF6E09" w14:textId="59C90E2F" w:rsidR="00846772" w:rsidRPr="00846772" w:rsidRDefault="00846772" w:rsidP="00BE10D4">
      <w:pPr>
        <w:pStyle w:val="awsAufzhlungEbene1"/>
      </w:pPr>
      <w:r w:rsidRPr="00846772">
        <w:t xml:space="preserve">Mehrwertsteuersatz und Betrag </w:t>
      </w:r>
    </w:p>
    <w:p w14:paraId="33ED54F1" w14:textId="499B44D4" w:rsidR="00846772" w:rsidRPr="00846772" w:rsidRDefault="00846772" w:rsidP="00BE10D4">
      <w:pPr>
        <w:pStyle w:val="awsAufzhlungEbene1"/>
      </w:pPr>
      <w:r w:rsidRPr="00846772">
        <w:t xml:space="preserve">UID –Nummer </w:t>
      </w:r>
    </w:p>
    <w:p w14:paraId="32E07D30" w14:textId="4357DD32" w:rsidR="00846772" w:rsidRPr="00846772" w:rsidRDefault="00846772" w:rsidP="00BE10D4">
      <w:pPr>
        <w:pStyle w:val="awsAufzhlungEbene1"/>
      </w:pPr>
      <w:proofErr w:type="spellStart"/>
      <w:r w:rsidRPr="00846772">
        <w:t>Kassabons</w:t>
      </w:r>
      <w:proofErr w:type="spellEnd"/>
      <w:r w:rsidRPr="00846772">
        <w:t xml:space="preserve"> sind mit dem Namen und der Adresse des Käufers zu versehen. </w:t>
      </w:r>
    </w:p>
    <w:p w14:paraId="5D642FC4" w14:textId="77777777" w:rsidR="00846772" w:rsidRPr="00846772" w:rsidRDefault="00846772" w:rsidP="00846772">
      <w:pPr>
        <w:pStyle w:val="awsLauftext"/>
      </w:pPr>
      <w:r w:rsidRPr="00846772">
        <w:t xml:space="preserve">Für </w:t>
      </w:r>
      <w:r w:rsidRPr="0092027A">
        <w:rPr>
          <w:b/>
          <w:bCs/>
        </w:rPr>
        <w:t>elektronisch archivierte Rechnungen</w:t>
      </w:r>
      <w:r w:rsidRPr="00846772">
        <w:t xml:space="preserve"> und </w:t>
      </w:r>
      <w:r w:rsidRPr="0092027A">
        <w:rPr>
          <w:b/>
          <w:bCs/>
        </w:rPr>
        <w:t>elektronische Rechnungen</w:t>
      </w:r>
      <w:r w:rsidRPr="00846772">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14:paraId="6789496B" w14:textId="77777777" w:rsidR="00846772" w:rsidRPr="00846772" w:rsidRDefault="00846772" w:rsidP="00846772">
      <w:pPr>
        <w:pStyle w:val="awsLauftext"/>
      </w:pPr>
      <w:r w:rsidRPr="0092027A">
        <w:rPr>
          <w:b/>
          <w:bCs/>
        </w:rPr>
        <w:t>Elektronisch archivierte Rechnungen</w:t>
      </w:r>
      <w:r w:rsidRPr="00846772">
        <w:t xml:space="preserve"> sind Papier-Originale, die elektronisch gespeichert (gescannt) und archiviert werden und deren Papier-Originale evtl. vernichtet werden. </w:t>
      </w:r>
    </w:p>
    <w:p w14:paraId="18D27832" w14:textId="77777777" w:rsidR="00846772" w:rsidRPr="00846772" w:rsidRDefault="00846772" w:rsidP="00846772">
      <w:pPr>
        <w:pStyle w:val="awsLauftext"/>
      </w:pPr>
      <w:r w:rsidRPr="0092027A">
        <w:rPr>
          <w:b/>
          <w:bCs/>
        </w:rPr>
        <w:t>Die elektronische Rechnung</w:t>
      </w:r>
      <w:r w:rsidRPr="00846772">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14:paraId="5CE658B7" w14:textId="77777777" w:rsidR="00846772" w:rsidRPr="00846772" w:rsidRDefault="00846772" w:rsidP="00846772">
      <w:pPr>
        <w:pStyle w:val="awsLauftext"/>
      </w:pPr>
      <w:r w:rsidRPr="00846772">
        <w:t xml:space="preserve">Wird bei </w:t>
      </w:r>
      <w:r w:rsidRPr="0092027A">
        <w:rPr>
          <w:b/>
          <w:bCs/>
        </w:rPr>
        <w:t>elektronisch archivierten Rechnungen</w:t>
      </w:r>
      <w:r w:rsidRPr="00846772">
        <w:t xml:space="preserve"> und </w:t>
      </w:r>
      <w:r w:rsidRPr="0092027A">
        <w:rPr>
          <w:b/>
          <w:bCs/>
        </w:rPr>
        <w:t>elektronischen Rechnungen</w:t>
      </w:r>
      <w:r w:rsidRPr="00846772">
        <w:t xml:space="preserve"> vom Rechnungsleger (Leistungserbringer) bereits ein Vermerk (z.B. Die gegenständliche Leistung wurde anlässlich eines Projektes erstellt, das zur Förderung im Rahmen des EU-Programmes Ländliche Entwicklung/LEADER 2014-20 eingereicht wird) auf der Rechnung angebracht, aus dem eindeutig hervorgeht, dass die elektronische Rechnung zur Förderung in der LE 14 – 20 eingereicht wird, sind diese Rechnungen förderbar. </w:t>
      </w:r>
    </w:p>
    <w:p w14:paraId="0BE65EC4" w14:textId="77777777" w:rsidR="00846772" w:rsidRPr="00846772" w:rsidRDefault="00846772" w:rsidP="00846772">
      <w:pPr>
        <w:pStyle w:val="awsLauftext"/>
      </w:pPr>
      <w:r w:rsidRPr="00846772">
        <w:t>Fehlt dieser Vermerk ist mit der Bewilligenden Stelle abzuklären, ob die elektronischen Rechnungen zur Förderung eingereicht werden können.</w:t>
      </w:r>
    </w:p>
    <w:p w14:paraId="3C062B00" w14:textId="77777777" w:rsidR="00846772" w:rsidRPr="00846772" w:rsidRDefault="00846772" w:rsidP="00545C7F">
      <w:pPr>
        <w:pStyle w:val="awsSubheadlinenummeriert"/>
      </w:pPr>
      <w:r w:rsidRPr="00846772">
        <w:lastRenderedPageBreak/>
        <w:t>Zahlungsnachweise</w:t>
      </w:r>
    </w:p>
    <w:p w14:paraId="19FB0969" w14:textId="77777777" w:rsidR="00846772" w:rsidRPr="00545C7F" w:rsidRDefault="00846772" w:rsidP="00901CCF">
      <w:pPr>
        <w:pStyle w:val="awsLauftext"/>
        <w:spacing w:before="240"/>
        <w:rPr>
          <w:rStyle w:val="awsLauftexthellblau"/>
        </w:rPr>
      </w:pPr>
      <w:r w:rsidRPr="00545C7F">
        <w:rPr>
          <w:rStyle w:val="awsLauftexthellblau"/>
        </w:rPr>
        <w:t>Barzahlungen</w:t>
      </w:r>
    </w:p>
    <w:p w14:paraId="4EA4C122" w14:textId="77777777" w:rsidR="00846772" w:rsidRPr="00846772" w:rsidRDefault="00846772" w:rsidP="00846772">
      <w:pPr>
        <w:pStyle w:val="awsLauftext"/>
      </w:pPr>
      <w:r w:rsidRPr="00846772">
        <w:t xml:space="preserve">Bis zu einem maximalen Rechnungsbetrag von </w:t>
      </w:r>
      <w:r w:rsidRPr="00545C7F">
        <w:rPr>
          <w:b/>
          <w:bCs/>
        </w:rPr>
        <w:t xml:space="preserve">€ </w:t>
      </w:r>
      <w:proofErr w:type="gramStart"/>
      <w:r w:rsidRPr="00545C7F">
        <w:rPr>
          <w:b/>
          <w:bCs/>
        </w:rPr>
        <w:t>5.000,-</w:t>
      </w:r>
      <w:proofErr w:type="gramEnd"/>
      <w:r w:rsidRPr="00545C7F">
        <w:rPr>
          <w:b/>
          <w:bCs/>
        </w:rPr>
        <w:t xml:space="preserve"> netto</w:t>
      </w:r>
      <w:r w:rsidRPr="00846772">
        <w:t xml:space="preserve"> kann eine Barzahlung anerkannt werden. Für den Nachweis des Zahlungsvollzuges müssen folgende Punkte auf der Rechnung enthalten sein:</w:t>
      </w:r>
    </w:p>
    <w:p w14:paraId="219213D7" w14:textId="77777777" w:rsidR="00846772" w:rsidRPr="00846772" w:rsidRDefault="00846772" w:rsidP="00846772">
      <w:pPr>
        <w:pStyle w:val="awsLauftext"/>
      </w:pPr>
      <w:r w:rsidRPr="00846772">
        <w:t xml:space="preserve">Datum, Unterschrift und Bestätigung vom Zahlungsempfänger, dass er den Betrag erhalten hat. Bei Firmen ist ein Firmenstempel anzubringen. Bei Barverkäufen (Kassenbons) wird der Vermerk „Bar bezahlt“ bereits angedruckt. Eine zusätzliche Bestätigung ist nicht erforderlich. </w:t>
      </w:r>
    </w:p>
    <w:p w14:paraId="7C0FD473" w14:textId="77777777" w:rsidR="00846772" w:rsidRPr="00846772" w:rsidRDefault="00846772" w:rsidP="00846772">
      <w:pPr>
        <w:pStyle w:val="awsLauftext"/>
      </w:pPr>
    </w:p>
    <w:p w14:paraId="06564C92" w14:textId="77777777" w:rsidR="00846772" w:rsidRPr="00846772" w:rsidRDefault="00846772" w:rsidP="00846772">
      <w:pPr>
        <w:pStyle w:val="awsLauftext"/>
      </w:pPr>
      <w:r w:rsidRPr="00846772">
        <w:t xml:space="preserve">Eine Bankomatzahlung gilt als Barzahlung und kann ebenfalls bis zu einem maximalen Rechnungsbetrag von € </w:t>
      </w:r>
      <w:proofErr w:type="gramStart"/>
      <w:r w:rsidRPr="00846772">
        <w:t>5.000,--</w:t>
      </w:r>
      <w:proofErr w:type="gramEnd"/>
      <w:r w:rsidRPr="00846772">
        <w:t xml:space="preserve"> netto anerkannt werden (Ausnahme: Einzugsermächtigungen bei Benützung von Bankomatkarten siehe nachfolgendes Beispiel). </w:t>
      </w:r>
    </w:p>
    <w:p w14:paraId="7E467572" w14:textId="77777777" w:rsidR="00846772" w:rsidRPr="00846772" w:rsidRDefault="00846772" w:rsidP="00846772">
      <w:pPr>
        <w:pStyle w:val="awsLauftext"/>
      </w:pPr>
      <w:r w:rsidRPr="00846772">
        <w:t xml:space="preserve">Übersteigt der Rechnungsbetrag € 5.000 netto, muss eine unbare Zahlung (Überweisung) nachgewiesen werden. </w:t>
      </w:r>
    </w:p>
    <w:p w14:paraId="62362DE2" w14:textId="77777777" w:rsidR="00846772" w:rsidRPr="00545C7F" w:rsidRDefault="00846772" w:rsidP="00901CCF">
      <w:pPr>
        <w:pStyle w:val="awsLauftext"/>
        <w:spacing w:before="240"/>
        <w:rPr>
          <w:rStyle w:val="awsLauftexthellblau"/>
        </w:rPr>
      </w:pPr>
      <w:r w:rsidRPr="00545C7F">
        <w:rPr>
          <w:rStyle w:val="awsLauftexthellblau"/>
        </w:rPr>
        <w:t>Überweisungen (unbare Zahlungen)</w:t>
      </w:r>
    </w:p>
    <w:p w14:paraId="538B23F9" w14:textId="77777777" w:rsidR="00846772" w:rsidRPr="00846772" w:rsidRDefault="00846772" w:rsidP="00846772">
      <w:pPr>
        <w:pStyle w:val="awsLauftext"/>
      </w:pPr>
      <w:r w:rsidRPr="00846772">
        <w:t xml:space="preserve">Einzugsermächtigungen bei Benützung von Bankomatkarten sind KEINE Barzahlungen, sondern wie eine Überweisung zu behandeln. Beispiel: „Ich ermächtige hiermit das “zutreffendes Kreditinstitut“ den angegebenen Betrag von meinem genannten Konto durch Lastschrift einzuziehen. Für den Fall der Nichteinlösung der Lastschrift oder des </w:t>
      </w:r>
      <w:r w:rsidRPr="00545C7F">
        <w:rPr>
          <w:i/>
          <w:iCs/>
        </w:rPr>
        <w:t>Widerspruchs gegen die Lastschrift weise ich meine Bank unwiderruflich an, „Kreditinstitut“ oder Dritten auf Anforderung meinen Namen, Adresse und Geburtsdatum vollständig mitzuteilen.“</w:t>
      </w:r>
    </w:p>
    <w:p w14:paraId="5C32D753" w14:textId="77777777" w:rsidR="00846772" w:rsidRPr="00846772" w:rsidRDefault="00846772" w:rsidP="00846772">
      <w:pPr>
        <w:pStyle w:val="awsLauftext"/>
      </w:pPr>
      <w:r w:rsidRPr="00846772">
        <w:t xml:space="preserve">Bei Überweisungen durch ein Bankinstitut 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14:paraId="0AE3CA2E" w14:textId="77777777" w:rsidR="00846772" w:rsidRPr="00846772" w:rsidRDefault="00846772" w:rsidP="00846772">
      <w:pPr>
        <w:pStyle w:val="awsLauftext"/>
      </w:pPr>
      <w:r w:rsidRPr="00846772">
        <w:t xml:space="preserve">Eine Einzahlung von Rechnungen bei Selbstbedienungsautomaten gilt nicht als saldiert. In diesem Fall ist der Förderungsabwicklungsstelle ein Kontoauszug oder eine Bankbestätigung über die Zahlungsdurchführung vorzulegen. </w:t>
      </w:r>
    </w:p>
    <w:p w14:paraId="49F72703" w14:textId="77777777" w:rsidR="00846772" w:rsidRPr="00846772" w:rsidRDefault="00846772" w:rsidP="00846772">
      <w:pPr>
        <w:pStyle w:val="awsLauftext"/>
      </w:pPr>
      <w:r w:rsidRPr="00846772">
        <w:t xml:space="preserve">Bei Internetbanking ist über den Zahlungsvollzug eine Umsatzliste (elektronischer Kontoauszug) oder Bankbestätigung/Kontoauszug über die Durchführung vorzulegen. Der Ausdruck der Auftragsbestätigung wird nicht anerkannt. </w:t>
      </w:r>
    </w:p>
    <w:p w14:paraId="177E2DC5" w14:textId="66498DDE" w:rsidR="00846772" w:rsidRPr="00846772" w:rsidRDefault="00846772" w:rsidP="00846772">
      <w:pPr>
        <w:pStyle w:val="awsLauftext"/>
      </w:pPr>
      <w:r w:rsidRPr="00846772">
        <w:t>Sämtliche Zahlungsnachweise werden auch in Kopie anerkannt.</w:t>
      </w:r>
    </w:p>
    <w:sectPr w:rsidR="00846772" w:rsidRPr="00846772" w:rsidSect="00846772">
      <w:headerReference w:type="default" r:id="rId8"/>
      <w:footerReference w:type="default" r:id="rId9"/>
      <w:pgSz w:w="11906" w:h="16838" w:code="9"/>
      <w:pgMar w:top="1560" w:right="1418"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327F2" w14:textId="77777777" w:rsidR="00B55C47" w:rsidRDefault="00B55C47" w:rsidP="00536800">
      <w:r>
        <w:separator/>
      </w:r>
    </w:p>
  </w:endnote>
  <w:endnote w:type="continuationSeparator" w:id="0">
    <w:p w14:paraId="3F48DC88" w14:textId="77777777" w:rsidR="00B55C47" w:rsidRDefault="00B55C47"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fontKey="{CA668ECB-81B3-45EB-8AE5-CF8E8096FEAA}"/>
    <w:embedBold r:id="rId2" w:fontKey="{03437AC5-D07C-4AF3-9BBB-CAC751C02EEF}"/>
  </w:font>
  <w:font w:name="HelveticaNeue LT 45 Light">
    <w:altName w:val="Malgun Gothic"/>
    <w:panose1 w:val="020B0403020202020204"/>
    <w:charset w:val="00"/>
    <w:family w:val="swiss"/>
    <w:pitch w:val="variable"/>
    <w:sig w:usb0="8000002F" w:usb1="4000004A" w:usb2="00000000" w:usb3="00000000" w:csb0="00000001" w:csb1="00000000"/>
    <w:embedRegular r:id="rId3" w:fontKey="{576E0A58-A624-44D0-BE9C-79122D449239}"/>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E8C6" w14:textId="69CF6381" w:rsidR="00A97365" w:rsidRPr="00B43827" w:rsidRDefault="0040222D" w:rsidP="00226B2B">
    <w:pPr>
      <w:pStyle w:val="awsFuzeile"/>
    </w:pPr>
    <w:r w:rsidRPr="0040222D">
      <w:t>aws Verarbeitung landwirtschaftlicher Erzeugnisse</w:t>
    </w:r>
    <w:r>
      <w:t xml:space="preserve"> </w:t>
    </w:r>
    <w:r w:rsidR="00A97365" w:rsidRPr="00B43827">
      <w:t xml:space="preserve">| </w:t>
    </w:r>
    <w:r w:rsidRPr="0040222D">
      <w:t>VORGABEN FÜR DIE EINREICHUNG VON ZAHLUNGSANTRÄGEN</w:t>
    </w:r>
    <w:r>
      <w:t xml:space="preserve"> </w:t>
    </w:r>
    <w:r w:rsidR="00A97365" w:rsidRPr="00B43827">
      <w:t xml:space="preserve">| Seite </w:t>
    </w:r>
    <w:sdt>
      <w:sdtPr>
        <w:id w:val="-1873685283"/>
        <w:docPartObj>
          <w:docPartGallery w:val="Page Numbers (Top of Page)"/>
          <w:docPartUnique/>
        </w:docPartObj>
      </w:sdtPr>
      <w:sdtEndPr/>
      <w:sdtContent>
        <w:r w:rsidR="00A97365" w:rsidRPr="00536800">
          <w:fldChar w:fldCharType="begin"/>
        </w:r>
        <w:r w:rsidR="00A97365" w:rsidRPr="00B43827">
          <w:instrText>PAGE   \* MERGEFORMAT</w:instrText>
        </w:r>
        <w:r w:rsidR="00A97365" w:rsidRPr="00536800">
          <w:fldChar w:fldCharType="separate"/>
        </w:r>
        <w:r w:rsidR="000F6DC1" w:rsidRPr="00B43827">
          <w:rPr>
            <w:noProof/>
          </w:rPr>
          <w:t>9</w:t>
        </w:r>
        <w:r w:rsidR="00A97365" w:rsidRPr="005368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B8C2C" w14:textId="77777777" w:rsidR="00B55C47" w:rsidRDefault="00B55C47" w:rsidP="00536800">
      <w:r>
        <w:separator/>
      </w:r>
    </w:p>
  </w:footnote>
  <w:footnote w:type="continuationSeparator" w:id="0">
    <w:p w14:paraId="7619DF7E" w14:textId="77777777" w:rsidR="00B55C47" w:rsidRDefault="00B55C47"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B758" w14:textId="7658668E" w:rsidR="00A97365" w:rsidRDefault="00A97365" w:rsidP="00AE153F">
    <w:pPr>
      <w:pStyle w:val="Kopfzeile"/>
      <w:tabs>
        <w:tab w:val="clear" w:pos="4536"/>
        <w:tab w:val="clear" w:pos="9072"/>
      </w:tabs>
      <w:spacing w:after="20"/>
      <w:ind w:right="-397"/>
      <w:jc w:val="right"/>
      <w:rPr>
        <w:rFonts w:ascii="HelveticaNeue LT 45 Light" w:hAnsi="HelveticaNeue LT 45 Light"/>
        <w:sz w:val="12"/>
        <w:szCs w:val="12"/>
      </w:rPr>
    </w:pPr>
  </w:p>
  <w:p w14:paraId="24958EC6" w14:textId="77777777" w:rsidR="00A97365" w:rsidRPr="00536800" w:rsidRDefault="00A97365">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7D468BA4"/>
    <w:lvl w:ilvl="0" w:tplc="B706F9D4">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0384850"/>
    <w:multiLevelType w:val="hybridMultilevel"/>
    <w:tmpl w:val="BF30226C"/>
    <w:lvl w:ilvl="0" w:tplc="A61C2F8A">
      <w:start w:val="1"/>
      <w:numFmt w:val="bullet"/>
      <w:pStyle w:val="awsAufzhlungEbene2"/>
      <w:lvlText w:val="◦"/>
      <w:lvlJc w:val="left"/>
      <w:pPr>
        <w:ind w:left="1097"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5777F7"/>
    <w:multiLevelType w:val="hybridMultilevel"/>
    <w:tmpl w:val="FD2E79A6"/>
    <w:lvl w:ilvl="0" w:tplc="DD1C2E3E">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1"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2F370B20"/>
    <w:multiLevelType w:val="hybridMultilevel"/>
    <w:tmpl w:val="CFCC498E"/>
    <w:lvl w:ilvl="0" w:tplc="424012E0">
      <w:start w:val="1"/>
      <w:numFmt w:val="bullet"/>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256857"/>
    <w:multiLevelType w:val="hybridMultilevel"/>
    <w:tmpl w:val="3ED6FCD0"/>
    <w:lvl w:ilvl="0" w:tplc="102492A6">
      <w:start w:val="1"/>
      <w:numFmt w:val="bullet"/>
      <w:pStyle w:val="awsAufzhlungEbene1"/>
      <w:lvlText w:val="•"/>
      <w:lvlJc w:val="left"/>
      <w:pPr>
        <w:ind w:left="720"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6" w15:restartNumberingAfterBreak="0">
    <w:nsid w:val="49FF0C82"/>
    <w:multiLevelType w:val="hybridMultilevel"/>
    <w:tmpl w:val="644661CC"/>
    <w:lvl w:ilvl="0" w:tplc="8B0E2A8C">
      <w:start w:val="1"/>
      <w:numFmt w:val="bullet"/>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7"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3"/>
  </w:num>
  <w:num w:numId="8">
    <w:abstractNumId w:val="4"/>
  </w:num>
  <w:num w:numId="9">
    <w:abstractNumId w:val="17"/>
  </w:num>
  <w:num w:numId="10">
    <w:abstractNumId w:val="8"/>
  </w:num>
  <w:num w:numId="11">
    <w:abstractNumId w:val="5"/>
  </w:num>
  <w:num w:numId="12">
    <w:abstractNumId w:val="2"/>
  </w:num>
  <w:num w:numId="13">
    <w:abstractNumId w:val="1"/>
  </w:num>
  <w:num w:numId="14">
    <w:abstractNumId w:val="18"/>
  </w:num>
  <w:num w:numId="15">
    <w:abstractNumId w:val="22"/>
  </w:num>
  <w:num w:numId="16">
    <w:abstractNumId w:val="16"/>
  </w:num>
  <w:num w:numId="17">
    <w:abstractNumId w:val="0"/>
  </w:num>
  <w:num w:numId="18">
    <w:abstractNumId w:val="6"/>
  </w:num>
  <w:num w:numId="19">
    <w:abstractNumId w:val="21"/>
  </w:num>
  <w:num w:numId="20">
    <w:abstractNumId w:val="15"/>
  </w:num>
  <w:num w:numId="21">
    <w:abstractNumId w:val="12"/>
  </w:num>
  <w:num w:numId="22">
    <w:abstractNumId w:val="14"/>
  </w:num>
  <w:num w:numId="23">
    <w:abstractNumId w:val="9"/>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45B4C"/>
    <w:rsid w:val="00054689"/>
    <w:rsid w:val="00061F72"/>
    <w:rsid w:val="00062EFF"/>
    <w:rsid w:val="000639D3"/>
    <w:rsid w:val="00064ED9"/>
    <w:rsid w:val="00071895"/>
    <w:rsid w:val="00071B19"/>
    <w:rsid w:val="000727E4"/>
    <w:rsid w:val="00075282"/>
    <w:rsid w:val="00086D70"/>
    <w:rsid w:val="00087684"/>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21EE"/>
    <w:rsid w:val="000D4809"/>
    <w:rsid w:val="000D5939"/>
    <w:rsid w:val="000D7063"/>
    <w:rsid w:val="000E19B7"/>
    <w:rsid w:val="000E4104"/>
    <w:rsid w:val="000E7E90"/>
    <w:rsid w:val="000F2859"/>
    <w:rsid w:val="000F5368"/>
    <w:rsid w:val="000F6DC1"/>
    <w:rsid w:val="001029AF"/>
    <w:rsid w:val="00106C46"/>
    <w:rsid w:val="00106C54"/>
    <w:rsid w:val="00121565"/>
    <w:rsid w:val="0012168F"/>
    <w:rsid w:val="00135B07"/>
    <w:rsid w:val="00135C4D"/>
    <w:rsid w:val="00136AE4"/>
    <w:rsid w:val="0013761A"/>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5CC3"/>
    <w:rsid w:val="00196ABE"/>
    <w:rsid w:val="001A0BF4"/>
    <w:rsid w:val="001A160F"/>
    <w:rsid w:val="001A1836"/>
    <w:rsid w:val="001A3F5D"/>
    <w:rsid w:val="001A45F8"/>
    <w:rsid w:val="001A537E"/>
    <w:rsid w:val="001A6435"/>
    <w:rsid w:val="001B2A6D"/>
    <w:rsid w:val="001B4E58"/>
    <w:rsid w:val="001B61AE"/>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4A57"/>
    <w:rsid w:val="002676A9"/>
    <w:rsid w:val="002719DC"/>
    <w:rsid w:val="00271FCD"/>
    <w:rsid w:val="002722F5"/>
    <w:rsid w:val="00274764"/>
    <w:rsid w:val="002771F6"/>
    <w:rsid w:val="002837D1"/>
    <w:rsid w:val="00295556"/>
    <w:rsid w:val="00297B4E"/>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2ED8"/>
    <w:rsid w:val="003134B7"/>
    <w:rsid w:val="00314C3C"/>
    <w:rsid w:val="003163BD"/>
    <w:rsid w:val="00316AB9"/>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D55"/>
    <w:rsid w:val="003C0738"/>
    <w:rsid w:val="003D132D"/>
    <w:rsid w:val="003D6F44"/>
    <w:rsid w:val="003E0F5E"/>
    <w:rsid w:val="003F081E"/>
    <w:rsid w:val="003F2150"/>
    <w:rsid w:val="003F3111"/>
    <w:rsid w:val="003F5207"/>
    <w:rsid w:val="003F5C0C"/>
    <w:rsid w:val="00400B03"/>
    <w:rsid w:val="0040222D"/>
    <w:rsid w:val="004067DA"/>
    <w:rsid w:val="004113D3"/>
    <w:rsid w:val="00411E82"/>
    <w:rsid w:val="00412E16"/>
    <w:rsid w:val="00414296"/>
    <w:rsid w:val="00416E2C"/>
    <w:rsid w:val="00420175"/>
    <w:rsid w:val="00425276"/>
    <w:rsid w:val="004268C2"/>
    <w:rsid w:val="0043348E"/>
    <w:rsid w:val="00440C8C"/>
    <w:rsid w:val="0044577D"/>
    <w:rsid w:val="00445F73"/>
    <w:rsid w:val="00450908"/>
    <w:rsid w:val="00451A0F"/>
    <w:rsid w:val="0045239A"/>
    <w:rsid w:val="00454C12"/>
    <w:rsid w:val="00457B58"/>
    <w:rsid w:val="00461985"/>
    <w:rsid w:val="00462FAE"/>
    <w:rsid w:val="00466964"/>
    <w:rsid w:val="00472ACD"/>
    <w:rsid w:val="0048221D"/>
    <w:rsid w:val="00487052"/>
    <w:rsid w:val="00490C6E"/>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C07"/>
    <w:rsid w:val="004F3018"/>
    <w:rsid w:val="004F46F8"/>
    <w:rsid w:val="004F7739"/>
    <w:rsid w:val="00500E79"/>
    <w:rsid w:val="00504526"/>
    <w:rsid w:val="005112FC"/>
    <w:rsid w:val="00512D63"/>
    <w:rsid w:val="005142D9"/>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5C7F"/>
    <w:rsid w:val="0054790D"/>
    <w:rsid w:val="005525E5"/>
    <w:rsid w:val="0055543C"/>
    <w:rsid w:val="00556555"/>
    <w:rsid w:val="00556B44"/>
    <w:rsid w:val="00557938"/>
    <w:rsid w:val="00574FD7"/>
    <w:rsid w:val="005750AE"/>
    <w:rsid w:val="005816A9"/>
    <w:rsid w:val="00584515"/>
    <w:rsid w:val="005859B6"/>
    <w:rsid w:val="005A238C"/>
    <w:rsid w:val="005A2D48"/>
    <w:rsid w:val="005A41AE"/>
    <w:rsid w:val="005A4E1A"/>
    <w:rsid w:val="005B2303"/>
    <w:rsid w:val="005B517C"/>
    <w:rsid w:val="005B5866"/>
    <w:rsid w:val="005C14E6"/>
    <w:rsid w:val="005C30FA"/>
    <w:rsid w:val="005C52D1"/>
    <w:rsid w:val="005C6B07"/>
    <w:rsid w:val="005C738E"/>
    <w:rsid w:val="005D2006"/>
    <w:rsid w:val="005D3E19"/>
    <w:rsid w:val="005D5096"/>
    <w:rsid w:val="005D53F4"/>
    <w:rsid w:val="005D6146"/>
    <w:rsid w:val="005E56D5"/>
    <w:rsid w:val="005F28A3"/>
    <w:rsid w:val="005F3D1F"/>
    <w:rsid w:val="005F4A86"/>
    <w:rsid w:val="005F7ED0"/>
    <w:rsid w:val="006049B0"/>
    <w:rsid w:val="00607B7C"/>
    <w:rsid w:val="00607C02"/>
    <w:rsid w:val="0061139D"/>
    <w:rsid w:val="00611E47"/>
    <w:rsid w:val="0061300B"/>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A82"/>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01FB"/>
    <w:rsid w:val="00811704"/>
    <w:rsid w:val="0081435E"/>
    <w:rsid w:val="00820D85"/>
    <w:rsid w:val="00820FAB"/>
    <w:rsid w:val="008218E4"/>
    <w:rsid w:val="00836487"/>
    <w:rsid w:val="00846772"/>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376C"/>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18FA"/>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019C7"/>
    <w:rsid w:val="00901CCF"/>
    <w:rsid w:val="0092027A"/>
    <w:rsid w:val="0092080F"/>
    <w:rsid w:val="00920B65"/>
    <w:rsid w:val="00920ED9"/>
    <w:rsid w:val="009218F9"/>
    <w:rsid w:val="009234BD"/>
    <w:rsid w:val="00924507"/>
    <w:rsid w:val="009318CA"/>
    <w:rsid w:val="00932729"/>
    <w:rsid w:val="00934409"/>
    <w:rsid w:val="009347A1"/>
    <w:rsid w:val="00934D85"/>
    <w:rsid w:val="00940025"/>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4634"/>
    <w:rsid w:val="0098655C"/>
    <w:rsid w:val="009918B4"/>
    <w:rsid w:val="009923D7"/>
    <w:rsid w:val="00994CC3"/>
    <w:rsid w:val="0099518D"/>
    <w:rsid w:val="0099524F"/>
    <w:rsid w:val="00997C4E"/>
    <w:rsid w:val="009A2343"/>
    <w:rsid w:val="009A546A"/>
    <w:rsid w:val="009B384D"/>
    <w:rsid w:val="009B5D59"/>
    <w:rsid w:val="009B7728"/>
    <w:rsid w:val="009C30CA"/>
    <w:rsid w:val="009C37D3"/>
    <w:rsid w:val="009C64A8"/>
    <w:rsid w:val="009D3AD3"/>
    <w:rsid w:val="009D524C"/>
    <w:rsid w:val="009D540A"/>
    <w:rsid w:val="009D5E12"/>
    <w:rsid w:val="009D636C"/>
    <w:rsid w:val="009E0852"/>
    <w:rsid w:val="009E2C68"/>
    <w:rsid w:val="009E42F0"/>
    <w:rsid w:val="009E7971"/>
    <w:rsid w:val="009F0066"/>
    <w:rsid w:val="009F29AF"/>
    <w:rsid w:val="009F7839"/>
    <w:rsid w:val="00A10086"/>
    <w:rsid w:val="00A11508"/>
    <w:rsid w:val="00A121CE"/>
    <w:rsid w:val="00A12B49"/>
    <w:rsid w:val="00A15E75"/>
    <w:rsid w:val="00A26BFC"/>
    <w:rsid w:val="00A27342"/>
    <w:rsid w:val="00A31491"/>
    <w:rsid w:val="00A32C6D"/>
    <w:rsid w:val="00A355BA"/>
    <w:rsid w:val="00A35A67"/>
    <w:rsid w:val="00A364F1"/>
    <w:rsid w:val="00A43C99"/>
    <w:rsid w:val="00A46983"/>
    <w:rsid w:val="00A470E8"/>
    <w:rsid w:val="00A51012"/>
    <w:rsid w:val="00A51354"/>
    <w:rsid w:val="00A52358"/>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7ECC"/>
    <w:rsid w:val="00B22ECC"/>
    <w:rsid w:val="00B25291"/>
    <w:rsid w:val="00B272D5"/>
    <w:rsid w:val="00B30374"/>
    <w:rsid w:val="00B314CE"/>
    <w:rsid w:val="00B32594"/>
    <w:rsid w:val="00B36C9B"/>
    <w:rsid w:val="00B43827"/>
    <w:rsid w:val="00B4794A"/>
    <w:rsid w:val="00B506C5"/>
    <w:rsid w:val="00B50A87"/>
    <w:rsid w:val="00B5160E"/>
    <w:rsid w:val="00B51DB4"/>
    <w:rsid w:val="00B522F8"/>
    <w:rsid w:val="00B55C47"/>
    <w:rsid w:val="00B60862"/>
    <w:rsid w:val="00B6251D"/>
    <w:rsid w:val="00B625F4"/>
    <w:rsid w:val="00B6731F"/>
    <w:rsid w:val="00B70466"/>
    <w:rsid w:val="00B70681"/>
    <w:rsid w:val="00B7308A"/>
    <w:rsid w:val="00B80EC1"/>
    <w:rsid w:val="00B820B4"/>
    <w:rsid w:val="00B85D29"/>
    <w:rsid w:val="00B9113C"/>
    <w:rsid w:val="00B911C9"/>
    <w:rsid w:val="00B91DC6"/>
    <w:rsid w:val="00B91E6A"/>
    <w:rsid w:val="00B92104"/>
    <w:rsid w:val="00B946D2"/>
    <w:rsid w:val="00B96464"/>
    <w:rsid w:val="00BA2F62"/>
    <w:rsid w:val="00BA5B53"/>
    <w:rsid w:val="00BB3DE8"/>
    <w:rsid w:val="00BB3F6C"/>
    <w:rsid w:val="00BB442A"/>
    <w:rsid w:val="00BB56FF"/>
    <w:rsid w:val="00BB7B2C"/>
    <w:rsid w:val="00BC22D6"/>
    <w:rsid w:val="00BC2876"/>
    <w:rsid w:val="00BC4608"/>
    <w:rsid w:val="00BC7726"/>
    <w:rsid w:val="00BC7936"/>
    <w:rsid w:val="00BC7F52"/>
    <w:rsid w:val="00BD549F"/>
    <w:rsid w:val="00BD67AA"/>
    <w:rsid w:val="00BD7620"/>
    <w:rsid w:val="00BD7A69"/>
    <w:rsid w:val="00BE0C43"/>
    <w:rsid w:val="00BE10D4"/>
    <w:rsid w:val="00BE2112"/>
    <w:rsid w:val="00BE54E7"/>
    <w:rsid w:val="00BF1D87"/>
    <w:rsid w:val="00BF2EC9"/>
    <w:rsid w:val="00BF343F"/>
    <w:rsid w:val="00BF47E5"/>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77B1"/>
    <w:rsid w:val="00C45D29"/>
    <w:rsid w:val="00C46B3A"/>
    <w:rsid w:val="00C51AB8"/>
    <w:rsid w:val="00C51ABE"/>
    <w:rsid w:val="00C55B03"/>
    <w:rsid w:val="00C60538"/>
    <w:rsid w:val="00C62EF8"/>
    <w:rsid w:val="00C63439"/>
    <w:rsid w:val="00C649DF"/>
    <w:rsid w:val="00C651FA"/>
    <w:rsid w:val="00C653EF"/>
    <w:rsid w:val="00C676B3"/>
    <w:rsid w:val="00C67DDC"/>
    <w:rsid w:val="00C7034E"/>
    <w:rsid w:val="00C72E1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61867"/>
    <w:rsid w:val="00D61BF6"/>
    <w:rsid w:val="00D628DF"/>
    <w:rsid w:val="00D62C6B"/>
    <w:rsid w:val="00D65BA4"/>
    <w:rsid w:val="00D67404"/>
    <w:rsid w:val="00D73772"/>
    <w:rsid w:val="00D74B82"/>
    <w:rsid w:val="00D818EB"/>
    <w:rsid w:val="00D81B9C"/>
    <w:rsid w:val="00D94BFD"/>
    <w:rsid w:val="00D9637C"/>
    <w:rsid w:val="00DA0B1D"/>
    <w:rsid w:val="00DA2FB8"/>
    <w:rsid w:val="00DA6674"/>
    <w:rsid w:val="00DB09FE"/>
    <w:rsid w:val="00DB0E4F"/>
    <w:rsid w:val="00DB0EE7"/>
    <w:rsid w:val="00DB5605"/>
    <w:rsid w:val="00DB578B"/>
    <w:rsid w:val="00DC0B8C"/>
    <w:rsid w:val="00DC0C45"/>
    <w:rsid w:val="00DC0F66"/>
    <w:rsid w:val="00DC2297"/>
    <w:rsid w:val="00DD04F1"/>
    <w:rsid w:val="00DD14CF"/>
    <w:rsid w:val="00DD1777"/>
    <w:rsid w:val="00DD4995"/>
    <w:rsid w:val="00DE4DB8"/>
    <w:rsid w:val="00DE5CDC"/>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1FC9"/>
    <w:rsid w:val="00E461D3"/>
    <w:rsid w:val="00E64719"/>
    <w:rsid w:val="00E71DEB"/>
    <w:rsid w:val="00E744E6"/>
    <w:rsid w:val="00E76E72"/>
    <w:rsid w:val="00E81C82"/>
    <w:rsid w:val="00E82974"/>
    <w:rsid w:val="00E8315B"/>
    <w:rsid w:val="00E87B31"/>
    <w:rsid w:val="00E90A43"/>
    <w:rsid w:val="00E90D5A"/>
    <w:rsid w:val="00E91A35"/>
    <w:rsid w:val="00E92748"/>
    <w:rsid w:val="00E92909"/>
    <w:rsid w:val="00E94AFE"/>
    <w:rsid w:val="00E97F31"/>
    <w:rsid w:val="00EA1324"/>
    <w:rsid w:val="00EA2437"/>
    <w:rsid w:val="00EA2443"/>
    <w:rsid w:val="00EA284F"/>
    <w:rsid w:val="00EA5192"/>
    <w:rsid w:val="00EA6DE4"/>
    <w:rsid w:val="00EA79AE"/>
    <w:rsid w:val="00EA7EC8"/>
    <w:rsid w:val="00EB1F6C"/>
    <w:rsid w:val="00EC0F42"/>
    <w:rsid w:val="00EC4ACA"/>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31557"/>
    <w:rsid w:val="00F32556"/>
    <w:rsid w:val="00F36071"/>
    <w:rsid w:val="00F36105"/>
    <w:rsid w:val="00F37568"/>
    <w:rsid w:val="00F37971"/>
    <w:rsid w:val="00F473B8"/>
    <w:rsid w:val="00F568D4"/>
    <w:rsid w:val="00F61B5D"/>
    <w:rsid w:val="00F63DB2"/>
    <w:rsid w:val="00F6765F"/>
    <w:rsid w:val="00F70586"/>
    <w:rsid w:val="00F728DA"/>
    <w:rsid w:val="00F73EF8"/>
    <w:rsid w:val="00F7461F"/>
    <w:rsid w:val="00F7719F"/>
    <w:rsid w:val="00F775E6"/>
    <w:rsid w:val="00F8126B"/>
    <w:rsid w:val="00F82761"/>
    <w:rsid w:val="00F83344"/>
    <w:rsid w:val="00F83AAC"/>
    <w:rsid w:val="00F8775F"/>
    <w:rsid w:val="00F90797"/>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846772"/>
    <w:pPr>
      <w:spacing w:before="120" w:after="0" w:line="400" w:lineRule="exact"/>
      <w:jc w:val="center"/>
    </w:pPr>
    <w:rPr>
      <w:rFonts w:ascii="Arial" w:hAnsi="Arial" w:cs="Arial"/>
      <w:b/>
      <w:color w:val="89B735" w:themeColor="accent6"/>
      <w:sz w:val="32"/>
      <w:szCs w:val="50"/>
    </w:rPr>
  </w:style>
  <w:style w:type="paragraph" w:customStyle="1" w:styleId="awsHeadline">
    <w:name w:val="aws Headline"/>
    <w:basedOn w:val="berschrift1"/>
    <w:qFormat/>
    <w:rsid w:val="00D62C6B"/>
    <w:pPr>
      <w:numPr>
        <w:numId w:val="0"/>
      </w:numPr>
      <w:spacing w:before="60" w:after="6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9D636C"/>
    <w:pPr>
      <w:spacing w:before="160" w:after="160" w:line="240" w:lineRule="exact"/>
    </w:pPr>
    <w:rPr>
      <w:rFonts w:ascii="Arial" w:hAnsi="Arial"/>
      <w:color w:val="00377A"/>
      <w:sz w:val="20"/>
      <w:szCs w:val="18"/>
    </w:rPr>
  </w:style>
  <w:style w:type="paragraph" w:customStyle="1" w:styleId="awsAufzhlungEbene1">
    <w:name w:val="aws Aufzählung Ebene 1"/>
    <w:basedOn w:val="Aufzhlungszeichen"/>
    <w:qFormat/>
    <w:rsid w:val="0098655C"/>
    <w:pPr>
      <w:numPr>
        <w:numId w:val="22"/>
      </w:numPr>
      <w:spacing w:line="240" w:lineRule="exact"/>
    </w:pPr>
    <w:rPr>
      <w:rFonts w:ascii="Arial" w:hAnsi="Arial"/>
      <w:color w:val="00377A"/>
      <w:sz w:val="20"/>
    </w:rPr>
  </w:style>
  <w:style w:type="paragraph" w:customStyle="1" w:styleId="awsAufzhlungEbene2">
    <w:name w:val="aws Aufzählung Ebene 2"/>
    <w:basedOn w:val="Aufzhlungszeichen2"/>
    <w:qFormat/>
    <w:rsid w:val="00163BBF"/>
    <w:pPr>
      <w:numPr>
        <w:numId w:val="23"/>
      </w:numPr>
      <w:spacing w:line="240" w:lineRule="exact"/>
    </w:pPr>
    <w:rPr>
      <w:rFonts w:ascii="Arial" w:hAnsi="Arial"/>
      <w:color w:val="00377A"/>
      <w:sz w:val="20"/>
    </w:rPr>
  </w:style>
  <w:style w:type="paragraph" w:customStyle="1" w:styleId="awsAufzhlungEbene3">
    <w:name w:val="aws Aufzählung Ebene 3"/>
    <w:basedOn w:val="Aufzhlungszeichen3"/>
    <w:qFormat/>
    <w:rsid w:val="005525E5"/>
    <w:pPr>
      <w:numPr>
        <w:numId w:val="24"/>
      </w:numPr>
      <w:spacing w:line="240" w:lineRule="exact"/>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9D636C"/>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DB09FE"/>
    <w:pPr>
      <w:spacing w:before="60" w:after="6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E94AFE"/>
    <w:pPr>
      <w:spacing w:after="12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E94AFE"/>
    <w:pPr>
      <w:spacing w:before="120" w:after="24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E94AFE"/>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412E16"/>
    <w:pPr>
      <w:spacing w:before="60" w:after="6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E94AFE"/>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412E16"/>
    <w:rPr>
      <w:rFonts w:ascii="Arial" w:eastAsiaTheme="majorEastAsia" w:hAnsi="Arial" w:cstheme="majorBidi"/>
      <w:b w:val="0"/>
      <w:bCs/>
      <w:i/>
      <w:color w:val="003778"/>
      <w:sz w:val="20"/>
    </w:rPr>
  </w:style>
  <w:style w:type="paragraph" w:customStyle="1" w:styleId="ArialBlackHINWEIS">
    <w:name w:val="Arial Black HINWEIS"/>
    <w:basedOn w:val="awsLauftext"/>
    <w:qFormat/>
    <w:rsid w:val="0013761A"/>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651F-8114-4C57-8340-60C8D750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9641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dc:creator>
  <cp:lastModifiedBy>SY Sophie</cp:lastModifiedBy>
  <cp:revision>2</cp:revision>
  <cp:lastPrinted>2019-10-31T11:35:00Z</cp:lastPrinted>
  <dcterms:created xsi:type="dcterms:W3CDTF">2022-02-16T09:27:00Z</dcterms:created>
  <dcterms:modified xsi:type="dcterms:W3CDTF">2022-02-16T09:27:00Z</dcterms:modified>
</cp:coreProperties>
</file>